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08" w:rsidRPr="004E32CC" w:rsidRDefault="002F6008" w:rsidP="002F6008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2F6008" w:rsidRDefault="002F6008" w:rsidP="002F6008">
      <w:pPr>
        <w:jc w:val="right"/>
        <w:rPr>
          <w:b/>
          <w:i/>
        </w:rPr>
      </w:pPr>
    </w:p>
    <w:p w:rsidR="002F6008" w:rsidRDefault="002F6008" w:rsidP="002F6008">
      <w:pPr>
        <w:tabs>
          <w:tab w:val="left" w:pos="2840"/>
        </w:tabs>
        <w:autoSpaceDE w:val="0"/>
        <w:rPr>
          <w:rFonts w:ascii="Arial" w:hAnsi="Arial" w:cs="Arial"/>
          <w:b/>
          <w:i/>
          <w:sz w:val="22"/>
          <w:szCs w:val="22"/>
        </w:rPr>
      </w:pPr>
    </w:p>
    <w:p w:rsidR="002F6008" w:rsidRPr="00307AD1" w:rsidRDefault="002F6008" w:rsidP="002F6008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2F6008" w:rsidRPr="00307AD1" w:rsidRDefault="002F6008" w:rsidP="002F6008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5F25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2F6008" w:rsidRDefault="002F6008" w:rsidP="002F6008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2F6008" w:rsidRPr="00307AD1" w:rsidRDefault="002F6008" w:rsidP="002F6008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2F6008" w:rsidRPr="00307AD1" w:rsidRDefault="002F6008" w:rsidP="002F6008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2F6008" w:rsidRPr="00307AD1" w:rsidRDefault="002F6008" w:rsidP="002F6008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2F6008" w:rsidRPr="00307AD1" w:rsidRDefault="002F6008" w:rsidP="002F6008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2F6008" w:rsidRDefault="002F6008" w:rsidP="002F600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F6008" w:rsidRDefault="002F6008" w:rsidP="002F600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F6008" w:rsidRDefault="002F6008" w:rsidP="002F600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87724D">
        <w:rPr>
          <w:rFonts w:ascii="Arial" w:hAnsi="Arial" w:cs="Arial"/>
          <w:sz w:val="22"/>
          <w:szCs w:val="22"/>
        </w:rPr>
        <w:t xml:space="preserve">Dotyczy postępowania na </w:t>
      </w:r>
    </w:p>
    <w:p w:rsidR="002F6008" w:rsidRPr="0087724D" w:rsidRDefault="002F6008" w:rsidP="002F6008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2F6008" w:rsidRPr="0087724D" w:rsidRDefault="002F6008" w:rsidP="002F6008">
      <w:pPr>
        <w:pStyle w:val="ust"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7724D">
        <w:rPr>
          <w:rFonts w:ascii="Arial" w:hAnsi="Arial" w:cs="Arial"/>
          <w:b/>
          <w:sz w:val="22"/>
          <w:szCs w:val="22"/>
        </w:rPr>
        <w:t xml:space="preserve">Dostawę </w:t>
      </w:r>
      <w:r>
        <w:rPr>
          <w:rFonts w:ascii="Arial" w:hAnsi="Arial" w:cs="Arial"/>
          <w:b/>
          <w:bCs/>
          <w:iCs/>
          <w:sz w:val="22"/>
          <w:szCs w:val="22"/>
        </w:rPr>
        <w:t>sprzętu audio do</w:t>
      </w:r>
      <w:r w:rsidRPr="001E647B">
        <w:rPr>
          <w:rFonts w:ascii="Arial" w:hAnsi="Arial" w:cs="Arial"/>
          <w:b/>
          <w:bCs/>
          <w:iCs/>
          <w:sz w:val="22"/>
          <w:szCs w:val="22"/>
        </w:rPr>
        <w:t xml:space="preserve"> Centrum Symulacji Medycznej</w:t>
      </w:r>
      <w:r w:rsidRPr="0087724D">
        <w:rPr>
          <w:rFonts w:ascii="Arial" w:hAnsi="Arial" w:cs="Arial"/>
          <w:b/>
          <w:sz w:val="22"/>
          <w:szCs w:val="22"/>
        </w:rPr>
        <w:br/>
        <w:t>Nr sprawy: KZp.272.</w:t>
      </w:r>
      <w:r>
        <w:rPr>
          <w:rFonts w:ascii="Arial" w:hAnsi="Arial" w:cs="Arial"/>
          <w:b/>
          <w:sz w:val="22"/>
          <w:szCs w:val="22"/>
        </w:rPr>
        <w:t>4</w:t>
      </w:r>
      <w:r w:rsidRPr="008772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21</w:t>
      </w:r>
      <w:r w:rsidRPr="0087724D">
        <w:rPr>
          <w:rFonts w:ascii="Arial" w:hAnsi="Arial" w:cs="Arial"/>
          <w:b/>
          <w:sz w:val="22"/>
          <w:szCs w:val="22"/>
        </w:rPr>
        <w:t>.CSM</w:t>
      </w:r>
    </w:p>
    <w:p w:rsidR="002F6008" w:rsidRPr="000E161A" w:rsidRDefault="002F6008" w:rsidP="002F6008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2F6008" w:rsidRPr="000E161A" w:rsidRDefault="002F6008" w:rsidP="002F600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2F6008" w:rsidRPr="000E161A" w:rsidRDefault="002F6008" w:rsidP="002F600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2F6008" w:rsidRPr="000E161A" w:rsidRDefault="002F6008" w:rsidP="002F600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2F6008" w:rsidRPr="000E161A" w:rsidRDefault="002F6008" w:rsidP="002F6008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2F6008" w:rsidRDefault="002F6008" w:rsidP="002F6008"/>
    <w:p w:rsidR="002F6008" w:rsidRDefault="002F6008" w:rsidP="002F6008"/>
    <w:p w:rsidR="002F6008" w:rsidRDefault="002F6008" w:rsidP="002F6008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2F6008" w:rsidRPr="0061148A" w:rsidRDefault="002F6008" w:rsidP="002F6008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2F6008" w:rsidRDefault="002F6008" w:rsidP="002F6008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2F6008" w:rsidRDefault="002F6008" w:rsidP="002F6008">
      <w:pPr>
        <w:rPr>
          <w:sz w:val="20"/>
        </w:rPr>
      </w:pPr>
    </w:p>
    <w:p w:rsidR="00B64FCA" w:rsidRPr="002F6008" w:rsidRDefault="00B64FCA" w:rsidP="002F6008">
      <w:bookmarkStart w:id="0" w:name="_GoBack"/>
      <w:bookmarkEnd w:id="0"/>
    </w:p>
    <w:sectPr w:rsidR="00B64FCA" w:rsidRPr="002F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0A" w:rsidRDefault="0093320A" w:rsidP="0093320A">
      <w:r>
        <w:separator/>
      </w:r>
    </w:p>
  </w:endnote>
  <w:endnote w:type="continuationSeparator" w:id="0">
    <w:p w:rsidR="0093320A" w:rsidRDefault="0093320A" w:rsidP="0093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8"/>
      <w:gridCol w:w="7109"/>
    </w:tblGrid>
    <w:tr w:rsidR="0093320A" w:rsidRPr="008C277B" w:rsidTr="008328C5">
      <w:tc>
        <w:tcPr>
          <w:tcW w:w="1080" w:type="pct"/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spacing w:before="60"/>
            <w:ind w:right="360" w:firstLine="360"/>
            <w:jc w:val="center"/>
            <w:rPr>
              <w:sz w:val="16"/>
              <w:szCs w:val="16"/>
            </w:rPr>
          </w:pPr>
          <w:r w:rsidRPr="00CB74D6">
            <w:rPr>
              <w:noProof/>
              <w:sz w:val="16"/>
              <w:szCs w:val="16"/>
            </w:rPr>
            <w:drawing>
              <wp:inline distT="0" distB="0" distL="0" distR="0">
                <wp:extent cx="619125" cy="619125"/>
                <wp:effectExtent l="0" t="0" r="9525" b="9525"/>
                <wp:docPr id="1" name="Obraz 1" descr="logo-pws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ws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0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320A" w:rsidRPr="008C277B" w:rsidRDefault="0093320A" w:rsidP="0093320A">
          <w:pPr>
            <w:pStyle w:val="Stopka"/>
            <w:jc w:val="right"/>
            <w:rPr>
              <w:sz w:val="16"/>
              <w:szCs w:val="16"/>
            </w:rPr>
          </w:pPr>
          <w:r w:rsidRPr="008C277B">
            <w:rPr>
              <w:sz w:val="16"/>
              <w:szCs w:val="16"/>
            </w:rPr>
            <w:t>Projekt „Centrum Symulacji Medycznej przy PWSIiP w Łomży”  nr  POWR.05.03.00-00-0085/17 współfinansowany ze środków Europejskiego Funduszu Społecznego w ramach Programu Operacyjnego Wiedza Edukacja Rozwój 2014-2020, Oś priorytetowa V. Wsparcie dla obszaru zdrowia, działanie 5.3 – Wysoka jakość kształcenia na kierunkach medycznych</w:t>
          </w:r>
        </w:p>
      </w:tc>
    </w:tr>
  </w:tbl>
  <w:p w:rsidR="0093320A" w:rsidRDefault="00933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0A" w:rsidRDefault="0093320A" w:rsidP="0093320A">
      <w:r>
        <w:separator/>
      </w:r>
    </w:p>
  </w:footnote>
  <w:footnote w:type="continuationSeparator" w:id="0">
    <w:p w:rsidR="0093320A" w:rsidRDefault="0093320A" w:rsidP="0093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93320A" w:rsidTr="008328C5">
      <w:tc>
        <w:tcPr>
          <w:tcW w:w="4606" w:type="dxa"/>
          <w:shd w:val="clear" w:color="auto" w:fill="auto"/>
        </w:tcPr>
        <w:p w:rsidR="0093320A" w:rsidRDefault="0093320A" w:rsidP="0093320A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3" name="Obraz 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93320A" w:rsidRDefault="0093320A" w:rsidP="0093320A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20A" w:rsidRDefault="00933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"/>
        </w:tabs>
        <w:ind w:left="48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3"/>
        </w:tabs>
        <w:ind w:left="363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723"/>
        </w:tabs>
        <w:ind w:left="723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083"/>
        </w:tabs>
        <w:ind w:left="1083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443"/>
        </w:tabs>
        <w:ind w:left="1443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D0"/>
    <w:rsid w:val="001436D0"/>
    <w:rsid w:val="001A3DEC"/>
    <w:rsid w:val="002F6008"/>
    <w:rsid w:val="008C2F32"/>
    <w:rsid w:val="0093320A"/>
    <w:rsid w:val="00B6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4B2FF94-6B50-4CCD-9B8A-6E8BFEF3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F6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32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320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32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93320A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93320A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93320A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33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33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1A3DEC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customStyle="1" w:styleId="Nagwek2Znak">
    <w:name w:val="Nagłówek 2 Znak"/>
    <w:basedOn w:val="Domylnaczcionkaakapitu"/>
    <w:link w:val="Nagwek2"/>
    <w:rsid w:val="002F60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2F60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2021-06-10T13:22:00Z</dcterms:created>
  <dcterms:modified xsi:type="dcterms:W3CDTF">2021-06-10T13:22:00Z</dcterms:modified>
</cp:coreProperties>
</file>