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Pr="006A66BA" w:rsidRDefault="00A41247" w:rsidP="001D5CC5">
      <w:pPr>
        <w:suppressAutoHyphens w:val="0"/>
        <w:autoSpaceDN/>
        <w:spacing w:after="0" w:line="240" w:lineRule="auto"/>
        <w:jc w:val="right"/>
        <w:textAlignment w:val="auto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</w:rPr>
        <w:t>Załącznik nr 6</w:t>
      </w:r>
      <w:r w:rsidRPr="006A66BA">
        <w:rPr>
          <w:rFonts w:ascii="Arial" w:hAnsi="Arial" w:cs="Arial"/>
          <w:bCs/>
          <w:i/>
        </w:rPr>
        <w:t xml:space="preserve"> do SIWZ</w:t>
      </w:r>
    </w:p>
    <w:p w:rsidR="00A41247" w:rsidRDefault="00A41247" w:rsidP="00A41247">
      <w:pPr>
        <w:tabs>
          <w:tab w:val="left" w:pos="561"/>
        </w:tabs>
        <w:spacing w:line="400" w:lineRule="atLeast"/>
        <w:rPr>
          <w:noProof/>
        </w:rPr>
      </w:pPr>
    </w:p>
    <w:p w:rsidR="00A41247" w:rsidRDefault="00A41247" w:rsidP="00A41247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</w:rPr>
        <w:t>(pieczęć Wykonawcy)</w:t>
      </w:r>
      <w:r>
        <w:rPr>
          <w:noProof/>
        </w:rPr>
        <w:tab/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A41247" w:rsidRPr="00C166A9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A41247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  <w:sz w:val="28"/>
          <w:szCs w:val="28"/>
        </w:rPr>
      </w:pPr>
    </w:p>
    <w:p w:rsidR="00A41247" w:rsidRPr="00E948A2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A41247" w:rsidRPr="00E948A2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A41247" w:rsidRPr="00E948A2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E948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………………………….</w:t>
      </w:r>
      <w:r w:rsidRPr="00E948A2">
        <w:rPr>
          <w:rFonts w:ascii="Arial" w:hAnsi="Arial" w:cs="Arial"/>
        </w:rPr>
        <w:t>…………….…….………………..…………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Pr="00E948A2">
        <w:rPr>
          <w:rFonts w:ascii="Arial" w:hAnsi="Arial" w:cs="Arial"/>
        </w:rPr>
        <w:t>………….…..……</w:t>
      </w:r>
      <w:r>
        <w:rPr>
          <w:rFonts w:ascii="Arial" w:hAnsi="Arial" w:cs="Arial"/>
        </w:rPr>
        <w:t>……………………</w:t>
      </w:r>
      <w:r w:rsidRPr="00E948A2">
        <w:rPr>
          <w:rFonts w:ascii="Arial" w:hAnsi="Arial" w:cs="Arial"/>
        </w:rPr>
        <w:t>……………………………………….…………….</w:t>
      </w:r>
    </w:p>
    <w:p w:rsidR="00A41247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rPr>
          <w:b w:val="0"/>
          <w:bCs w:val="0"/>
          <w:i w:val="0"/>
          <w:iCs w:val="0"/>
          <w:sz w:val="24"/>
          <w:szCs w:val="24"/>
        </w:rPr>
      </w:pPr>
    </w:p>
    <w:p w:rsidR="00A41247" w:rsidRDefault="001D5CC5" w:rsidP="00A41247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„Dostawa </w:t>
      </w:r>
      <w:r w:rsidRPr="001D5CC5">
        <w:rPr>
          <w:rFonts w:ascii="Arial" w:eastAsia="Times New Roman" w:hAnsi="Arial" w:cs="Arial"/>
          <w:b/>
          <w:lang w:eastAsia="pl-PL"/>
        </w:rPr>
        <w:t>zestawu komputerowego składającego się z komputera do obróbki filmów 4K/6K i dwóch monitorów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1D5CC5" w:rsidRPr="00CB30C3" w:rsidRDefault="001D5CC5" w:rsidP="001D5CC5">
      <w:pPr>
        <w:pStyle w:val="Akapitzlist"/>
        <w:numPr>
          <w:ilvl w:val="0"/>
          <w:numId w:val="73"/>
        </w:num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FB523C">
        <w:rPr>
          <w:rFonts w:ascii="Arial" w:hAnsi="Arial" w:cs="Arial"/>
          <w:b/>
        </w:rPr>
        <w:t xml:space="preserve">Komputer stacjonarny  – 1 </w:t>
      </w:r>
      <w:proofErr w:type="spellStart"/>
      <w:r w:rsidRPr="00FB523C">
        <w:rPr>
          <w:rFonts w:ascii="Arial" w:hAnsi="Arial" w:cs="Arial"/>
          <w:b/>
        </w:rPr>
        <w:t>szt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Pr="00CB30C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CB30C3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…………..…</w:t>
      </w:r>
    </w:p>
    <w:p w:rsidR="001D5CC5" w:rsidRDefault="001D5CC5" w:rsidP="0010509A">
      <w:pPr>
        <w:pStyle w:val="Akapitzlis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</w:t>
      </w:r>
      <w:r w:rsidR="0010509A">
        <w:rPr>
          <w:rFonts w:ascii="Arial" w:hAnsi="Arial" w:cs="Arial"/>
          <w:b/>
          <w:i/>
          <w:sz w:val="18"/>
          <w:szCs w:val="18"/>
        </w:rPr>
        <w:t xml:space="preserve">              </w:t>
      </w:r>
      <w:r w:rsidRPr="0010509A">
        <w:rPr>
          <w:rFonts w:ascii="Arial" w:hAnsi="Arial" w:cs="Arial"/>
          <w:sz w:val="20"/>
          <w:szCs w:val="20"/>
        </w:rPr>
        <w:t>typ, model oferowanego przedmiotu zamówienia</w:t>
      </w:r>
    </w:p>
    <w:p w:rsidR="0010509A" w:rsidRPr="00032690" w:rsidRDefault="0010509A" w:rsidP="0010509A">
      <w:pPr>
        <w:pStyle w:val="Akapitzlist"/>
        <w:spacing w:line="259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58"/>
        <w:gridCol w:w="3827"/>
      </w:tblGrid>
      <w:tr w:rsidR="001D5CC5" w:rsidRPr="008D19A0" w:rsidTr="001D5CC5">
        <w:trPr>
          <w:trHeight w:val="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8D19A0" w:rsidRDefault="001D5CC5" w:rsidP="001D5CC5">
            <w:pPr>
              <w:tabs>
                <w:tab w:val="num" w:pos="72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8D19A0" w:rsidRDefault="001D5CC5" w:rsidP="001D5C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Parametry, funkcjonalności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8D19A0" w:rsidRDefault="001D5CC5" w:rsidP="001D5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Oferowany przedmiot zamówienia</w:t>
            </w:r>
          </w:p>
          <w:p w:rsidR="001D5CC5" w:rsidRPr="008D19A0" w:rsidRDefault="001D5CC5" w:rsidP="001D5C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Komputer stacjonarny w o</w:t>
            </w:r>
            <w:r w:rsidRPr="008D19A0">
              <w:rPr>
                <w:rFonts w:ascii="Arial" w:hAnsi="Arial" w:cs="Arial"/>
                <w:bCs/>
                <w:sz w:val="20"/>
                <w:szCs w:val="20"/>
              </w:rPr>
              <w:t xml:space="preserve">budowie typu Full Tower umożliwiającej montaż płyty głównej w standardach: ATX i EATX, karty graficznej pełnej wysokości w slocie PCI express o długości 40 cm. Otwory wentylacyjne mogą znajdować się w przedniej, bocznej i tylnej ścianie obudowy, zamontowane wentylatory zapewnianiające cyrkulację powietrza w kierunku przód – tył. </w:t>
            </w:r>
            <w:r w:rsidRPr="008D19A0">
              <w:rPr>
                <w:rFonts w:ascii="Arial" w:hAnsi="Arial" w:cs="Arial"/>
                <w:sz w:val="20"/>
                <w:szCs w:val="20"/>
              </w:rPr>
              <w:t>Obudowa zapewniająca miejsce na montaż: 9 kart rozszerzeń; 2 dysków 2,5”, 6 dysków 2,5’/3,5’; Możliwość montażu napędu optycznego z przodu obudowy.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Przeznaczenie: Uruchamianie aplikacji do obróbki wideo w rozdzielczości 4K/6K, obróbki zdjęć (np.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DaVinci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Resolve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, Adobe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Premiere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, OBS Studio, RAW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8D19A0">
              <w:rPr>
                <w:rFonts w:ascii="Arial" w:hAnsi="Arial" w:cs="Arial"/>
                <w:sz w:val="20"/>
                <w:szCs w:val="20"/>
              </w:rPr>
              <w:lastRenderedPageBreak/>
              <w:t xml:space="preserve">tworzenia grafiki 3D w programach do wizualizacji i modelowania 3D (np.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Blender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, Adobe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, 3DMax). dostęp do Internetu i aplikacji WWW, narzędzi programistycznych (np. Visual Studio, Android Studio), bazodanowych (np. MSSQL,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Postgresql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) oraz aplikacji do przetwarzania audio-wideo. Komputer przeznaczony do obróbki wideo w trybie pracy wielordzeniowej i synchronizacji procesów, z dzieleniem zasobów a także specyfiką komunikacji i synchronizacji w przetwarzaniu rozproszonym, z wykorzystaniem wielordzeniowych jednostek centralnych CPU oraz jednostek przetwarzania graficznego GPU z zaimplementowaną obsługa sprzętową technologii CUDA. Uruchamianie jednoczesne kilku systemów operacyjnych z wykorzystaniem oprogramowania do wirtualizacji (np.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VirtualBox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Workstation).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9A0">
              <w:rPr>
                <w:rFonts w:ascii="Arial" w:hAnsi="Arial" w:cs="Arial"/>
                <w:bCs/>
                <w:sz w:val="20"/>
                <w:szCs w:val="20"/>
              </w:rPr>
              <w:t xml:space="preserve">Procesor przeznaczony do uruchamiania systemów 64 bitowych, zaprojektowany do pracy w komputerach stacjonarnych,  zapewniający wydajność komputera ocenioną na co najmniej </w:t>
            </w:r>
            <w:r w:rsidRPr="009E25EA">
              <w:rPr>
                <w:rFonts w:ascii="Arial" w:hAnsi="Arial" w:cs="Arial"/>
                <w:bCs/>
                <w:sz w:val="20"/>
                <w:szCs w:val="20"/>
              </w:rPr>
              <w:t>39300</w:t>
            </w:r>
            <w:r w:rsidRPr="008D19A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8D19A0">
              <w:rPr>
                <w:rFonts w:ascii="Arial" w:hAnsi="Arial" w:cs="Arial"/>
                <w:bCs/>
                <w:sz w:val="20"/>
                <w:szCs w:val="20"/>
              </w:rPr>
              <w:t>punktów, zgodnie z zestawieniem opublikowanym na stronie:</w:t>
            </w:r>
          </w:p>
          <w:p w:rsidR="0010509A" w:rsidRPr="008D19A0" w:rsidRDefault="009E25EA" w:rsidP="008D19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0509A" w:rsidRPr="008D19A0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http://www.cpubenchmark.net/cpu_list.php</w:t>
              </w:r>
            </w:hyperlink>
            <w:r w:rsidR="0010509A" w:rsidRPr="008D19A0">
              <w:rPr>
                <w:rFonts w:ascii="Arial" w:hAnsi="Arial" w:cs="Arial"/>
                <w:bCs/>
                <w:sz w:val="20"/>
                <w:szCs w:val="20"/>
              </w:rPr>
              <w:t xml:space="preserve">  w dniu ogłoszenia niniejszego postępowania a stanowiącym Załącznik nr </w:t>
            </w:r>
            <w:r w:rsidR="008D19A0" w:rsidRPr="008D19A0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10509A" w:rsidRPr="008D19A0">
              <w:rPr>
                <w:rFonts w:ascii="Arial" w:hAnsi="Arial" w:cs="Arial"/>
                <w:bCs/>
                <w:sz w:val="20"/>
                <w:szCs w:val="20"/>
              </w:rPr>
              <w:t xml:space="preserve"> do SIWZ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1 dysk twardy typu SSD z interfejsem M.2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3.0 x4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o pojemności co najmniej 500 GB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1 dysk twardy typu SSD z interfejsem M.2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3.0 x4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o pojemności co najmniej 1000 GB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 1 dysk typu HDD o pojemności co najmniej 4 TB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Pamięć RAM DDR4 o pojemności całkowitej 64 GB (4x16GB), częstotliwość taktowania  3 600MHz,  o współczynniku latencji nie dłuższym niż CL17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Dedykowana karta graficzna z pamięcią własną co najmniej 8 GB, umożliwiającą wyświetlenie obrazu o rozdzielczości min 4096 × 2160 p</w:t>
            </w:r>
            <w:bookmarkStart w:id="0" w:name="_GoBack"/>
            <w:bookmarkEnd w:id="0"/>
            <w:r w:rsidRPr="008D19A0">
              <w:rPr>
                <w:rFonts w:ascii="Arial" w:hAnsi="Arial" w:cs="Arial"/>
                <w:sz w:val="20"/>
                <w:szCs w:val="20"/>
              </w:rPr>
              <w:t>ikseli z zamontowanym układem  chłodzenia cieczą w obiegu zamkniętym.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Wsparcie dla równoległej technologii obliczeniowej CUDA oraz aplikacji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Blender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i 3DMax;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Wydajność karty graficznej oceniona na co najmniej </w:t>
            </w:r>
            <w:r w:rsidR="009E25EA" w:rsidRPr="009E25EA">
              <w:rPr>
                <w:rFonts w:ascii="Arial" w:hAnsi="Arial" w:cs="Arial"/>
                <w:sz w:val="20"/>
                <w:szCs w:val="20"/>
              </w:rPr>
              <w:t>192</w:t>
            </w:r>
            <w:r w:rsidRPr="009E25EA">
              <w:rPr>
                <w:rFonts w:ascii="Arial" w:hAnsi="Arial" w:cs="Arial"/>
                <w:sz w:val="20"/>
                <w:szCs w:val="20"/>
              </w:rPr>
              <w:t>00 punktów</w:t>
            </w:r>
            <w:r w:rsidRPr="008D19A0">
              <w:rPr>
                <w:rFonts w:ascii="Arial" w:hAnsi="Arial" w:cs="Arial"/>
                <w:sz w:val="20"/>
                <w:szCs w:val="20"/>
              </w:rPr>
              <w:t xml:space="preserve"> w teście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VideocardBenchmarks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opublikowanym na stronie </w:t>
            </w:r>
            <w:hyperlink r:id="rId8" w:history="1">
              <w:r w:rsidRPr="008D19A0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http://www.videocardbenchmark.net/gpu_list.php</w:t>
              </w:r>
            </w:hyperlink>
            <w:r w:rsidRPr="008D19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9A0">
              <w:rPr>
                <w:rFonts w:ascii="Arial" w:hAnsi="Arial" w:cs="Arial"/>
                <w:bCs/>
                <w:sz w:val="20"/>
                <w:szCs w:val="20"/>
              </w:rPr>
              <w:t xml:space="preserve">w dniu ogłoszenia niniejszego postępowania a stanowiącym Załącznik nr </w:t>
            </w:r>
            <w:r w:rsidR="008D19A0" w:rsidRPr="008D19A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8D19A0">
              <w:rPr>
                <w:rFonts w:ascii="Arial" w:hAnsi="Arial" w:cs="Arial"/>
                <w:bCs/>
                <w:sz w:val="20"/>
                <w:szCs w:val="20"/>
              </w:rPr>
              <w:t xml:space="preserve"> do SIWZ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Wymagana obsługa najnowszych standardów DIRECTX oraz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Możliwość podłączenia co najmniej 2 monitorów.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Karta dźwiękowa Zgodna z High Definition (HD) Audio ze złączami wejściowymi na przedniej/górnej ścianie komputera oraz wejściowymi i wyjściowymi na tylnej ścianie komputera.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Obudowa z przednim lub górnym panelem zawierającym: co najmniej 2 złącza USB 2.0; co najmniej 2 złącza USB 3.0; wejściem mikrofonowym; wyjściem słuchawkowym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Złącza na tylnej ścianie: co najmniej 4 złącza USB w tym co najmniej 2 USB3, wejście audio, 2 wyjścia audio, RJ45, wyjście grafiki.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Napęd optyczny umożliwiający odczyt i zapis płyt w standardach CD, DVD, DVD+DL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Karta sieciowa Ethernet umożliwiająca transmisję z prędkościami: 100/1000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>/s,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Klawiatura pełnowymiarowa, układ typu QWERTY (polski programisty), przewodowa podłączana przez port USB 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Przewodowa mysz z sensorem optycznym i rolką, podłączana do portu USB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  <w:shd w:val="clear" w:color="auto" w:fill="auto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BIOS musi posiadać możliwości: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 xml:space="preserve">- ustawienia hasła dostępu do </w:t>
            </w:r>
            <w:proofErr w:type="spellStart"/>
            <w:r w:rsidRPr="008D19A0">
              <w:rPr>
                <w:rFonts w:ascii="Arial" w:hAnsi="Arial" w:cs="Arial"/>
              </w:rPr>
              <w:t>BIOSu</w:t>
            </w:r>
            <w:proofErr w:type="spellEnd"/>
            <w:r w:rsidRPr="008D19A0">
              <w:rPr>
                <w:rFonts w:ascii="Arial" w:hAnsi="Arial" w:cs="Arial"/>
              </w:rPr>
              <w:t xml:space="preserve"> (administratora), 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- blokadę portów USB, COM (jeżeli dostępne);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możliwość wyłączenia w BIOS-ie portów USB;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- kontrola sekwencji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bootującej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- włączanie/wyłączanie wsparcia sprzętowego dla obsługi środowiska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zwirtualizowanego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start systemu z dysku twardego, czytnika CD/DVD, urządzenia USB, z sieci w standardzie PXE;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MagikINFO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 xml:space="preserve">Komputer musi posiadać funkcjonalność zarządzania i monitorowania zdalnego na poziomie sprzętowym działającą niezależnie od systemu operacyjnego oraz stanu włączenia komputera zgodnie ze standardem ISO/IEC 17963:2013 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Wymagane funkcje zarządzania to: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- zdalne włączenie komputera,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- zdalne wyłączenie komputera,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- zdalne monitorowanie wersji i ustawień BIOS, modelu komputera, numeru seryjnego, informacji o zainstalowanym procesorze, pamięci RAM z dostępnością slotów oraz zainstalowanych dyskach twardych,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- możliwość definiowania dodatkowych kot użytkowników z możliwością ograniczania uprawnień do funkcji zdalnego włączania komputera.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lastRenderedPageBreak/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Głośność/ emisja szumów: zgodna z normą ISO 9296 / ISO 7779 w trybie jałowym (</w:t>
            </w:r>
            <w:proofErr w:type="spellStart"/>
            <w:r w:rsidRPr="008D19A0">
              <w:rPr>
                <w:rFonts w:ascii="Arial" w:hAnsi="Arial" w:cs="Arial"/>
              </w:rPr>
              <w:t>Idle</w:t>
            </w:r>
            <w:proofErr w:type="spellEnd"/>
            <w:r w:rsidRPr="008D19A0">
              <w:rPr>
                <w:rFonts w:ascii="Arial" w:hAnsi="Arial" w:cs="Arial"/>
              </w:rPr>
              <w:t>) emisja szumów nie powinna przekraczać 29dB;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  <w:r w:rsidRPr="008D19A0">
              <w:rPr>
                <w:rFonts w:ascii="Arial" w:hAnsi="Arial" w:cs="Arial"/>
              </w:rPr>
              <w:t>Wymagane jest załączenie do formularza jakościowego kopii odpowiedniego certyfikatu lub deklaracji producenta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  <w:tr w:rsidR="0010509A" w:rsidRPr="008D19A0" w:rsidTr="001D5CC5">
        <w:tc>
          <w:tcPr>
            <w:tcW w:w="704" w:type="dxa"/>
            <w:shd w:val="clear" w:color="auto" w:fill="auto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  <w:bCs/>
              </w:rPr>
            </w:pPr>
            <w:r w:rsidRPr="008D19A0">
              <w:rPr>
                <w:rFonts w:ascii="Arial" w:hAnsi="Arial" w:cs="Arial"/>
                <w:bCs/>
              </w:rPr>
              <w:t>Zasilanie z sieci energetycznej 240V 50Hz</w:t>
            </w:r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  <w:bCs/>
              </w:rPr>
            </w:pPr>
            <w:r w:rsidRPr="008D19A0">
              <w:rPr>
                <w:rFonts w:ascii="Arial" w:hAnsi="Arial" w:cs="Arial"/>
                <w:bCs/>
              </w:rPr>
              <w:t>Zgodny z normą ENERGY STAR 6.0 lub nowszą – wymagane jest</w:t>
            </w:r>
            <w:r w:rsidRPr="008D19A0">
              <w:rPr>
                <w:rFonts w:ascii="Arial" w:hAnsi="Arial" w:cs="Arial"/>
              </w:rPr>
              <w:t xml:space="preserve"> załączenie do formularza jakościowego </w:t>
            </w:r>
            <w:r w:rsidRPr="008D19A0">
              <w:rPr>
                <w:rFonts w:ascii="Arial" w:hAnsi="Arial" w:cs="Arial"/>
                <w:bCs/>
              </w:rPr>
              <w:t xml:space="preserve">kopii certyfikatu lub wydruk ze strony </w:t>
            </w:r>
            <w:hyperlink r:id="rId9" w:history="1">
              <w:r w:rsidRPr="008D19A0">
                <w:rPr>
                  <w:rStyle w:val="Hipercze"/>
                  <w:rFonts w:ascii="Arial" w:hAnsi="Arial" w:cs="Arial"/>
                  <w:bCs/>
                </w:rPr>
                <w:t>www.energystar.gov</w:t>
              </w:r>
            </w:hyperlink>
            <w:r w:rsidRPr="008D19A0">
              <w:rPr>
                <w:rFonts w:ascii="Arial" w:hAnsi="Arial" w:cs="Arial"/>
                <w:bCs/>
              </w:rPr>
              <w:t xml:space="preserve"> lub </w:t>
            </w:r>
            <w:hyperlink r:id="rId10" w:history="1">
              <w:r w:rsidRPr="008D19A0">
                <w:rPr>
                  <w:rStyle w:val="Hipercze"/>
                  <w:rFonts w:ascii="Arial" w:hAnsi="Arial" w:cs="Arial"/>
                  <w:bCs/>
                </w:rPr>
                <w:t>www.eu-energystar.org</w:t>
              </w:r>
            </w:hyperlink>
            <w:r w:rsidRPr="008D19A0">
              <w:rPr>
                <w:rFonts w:ascii="Arial" w:hAnsi="Arial" w:cs="Arial"/>
                <w:bCs/>
              </w:rPr>
              <w:t xml:space="preserve"> dotyczącego oferowanego modelu komputera.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  <w:bCs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9A0">
              <w:rPr>
                <w:rFonts w:ascii="Arial" w:hAnsi="Arial" w:cs="Arial"/>
                <w:bCs/>
                <w:sz w:val="20"/>
                <w:szCs w:val="20"/>
              </w:rPr>
              <w:t>Komputer powinien być wyprodukowany zgodnie z normami ISO 9001 oraz</w:t>
            </w:r>
            <w:r w:rsidRPr="008D19A0">
              <w:rPr>
                <w:rFonts w:ascii="Arial" w:hAnsi="Arial" w:cs="Arial"/>
                <w:sz w:val="20"/>
                <w:szCs w:val="20"/>
              </w:rPr>
              <w:t xml:space="preserve"> ISO 14001</w:t>
            </w:r>
            <w:r w:rsidRPr="008D19A0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9A0">
              <w:rPr>
                <w:rFonts w:ascii="Arial" w:hAnsi="Arial" w:cs="Arial"/>
                <w:bCs/>
                <w:sz w:val="20"/>
                <w:szCs w:val="20"/>
              </w:rPr>
              <w:t xml:space="preserve">Deklaracja zgodności CE, </w:t>
            </w:r>
            <w:proofErr w:type="spellStart"/>
            <w:r w:rsidRPr="008D19A0">
              <w:rPr>
                <w:rFonts w:ascii="Arial" w:hAnsi="Arial" w:cs="Arial"/>
                <w:bCs/>
                <w:sz w:val="20"/>
                <w:szCs w:val="20"/>
              </w:rPr>
              <w:t>RoHS</w:t>
            </w:r>
            <w:proofErr w:type="spellEnd"/>
          </w:p>
          <w:p w:rsidR="0010509A" w:rsidRPr="008D19A0" w:rsidRDefault="0010509A" w:rsidP="0010509A">
            <w:pPr>
              <w:pStyle w:val="Standardowywlewo"/>
              <w:jc w:val="left"/>
              <w:rPr>
                <w:rFonts w:ascii="Arial" w:hAnsi="Arial" w:cs="Arial"/>
                <w:bCs/>
              </w:rPr>
            </w:pPr>
            <w:r w:rsidRPr="008D19A0">
              <w:rPr>
                <w:rFonts w:ascii="Arial" w:hAnsi="Arial" w:cs="Arial"/>
              </w:rPr>
              <w:t>Wymagane jest załączenie do formularza jakościowego kopii certyfikatów lub deklaracji producenta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ActiveDirectory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elementów środowisk użytkowników i komputerów takich jak: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podłączanie lub usuwanie dysków sieciowych,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tworzenie, modyfikowanie lub usuwanie zmiennych środowiskowych,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tworzenie, modyfikowanie lub anulowanie udostępniania udziałów dyskowych,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tworzenie, modyfikowanie lub usuwanie połączeń drukarek lokalnych oraz dostępnych w sieci lokalnej za pomocą protokołu TCP/IP,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włączanie lub wyłączanie urządzeń sprzętowych lub klas urządzeń np. pamięci USB,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modyfikację menu głównego graficznego interfejsu użytkownika,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tworzenie, modyfikowanie lub usuwanie grup i użytkowników lokalnych,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- tworzenie i modyfikację restrykcji dotyczących haseł (długość, okres ważności, złożoność) kont użytkowników lokalnych i sieciowych,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- modyfikację ustawień lokalnej zapory sieciowej z możliwością ograniczania uprawnień administratora lokalnego, 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lastRenderedPageBreak/>
              <w:t>- wprowadzanie indywidualnych modyfikacji centralnej bazy danych ustawień konfiguracyjnych systemu operacyjnego i aplikacji.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 xml:space="preserve">Pierwsze uruchomienie oraz </w:t>
            </w:r>
            <w:proofErr w:type="spellStart"/>
            <w:r w:rsidRPr="008D19A0">
              <w:rPr>
                <w:rFonts w:ascii="Arial" w:hAnsi="Arial" w:cs="Arial"/>
                <w:sz w:val="20"/>
                <w:szCs w:val="20"/>
              </w:rPr>
              <w:t>reinstalacja</w:t>
            </w:r>
            <w:proofErr w:type="spellEnd"/>
            <w:r w:rsidRPr="008D19A0">
              <w:rPr>
                <w:rFonts w:ascii="Arial" w:hAnsi="Arial" w:cs="Arial"/>
                <w:sz w:val="20"/>
                <w:szCs w:val="20"/>
              </w:rPr>
              <w:t xml:space="preserve"> systemu operacyjnego nie może wymagać aktywacji w systemach producenta.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sz w:val="20"/>
                <w:szCs w:val="20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8D19A0" w:rsidTr="001D5CC5">
        <w:tc>
          <w:tcPr>
            <w:tcW w:w="704" w:type="dxa"/>
          </w:tcPr>
          <w:p w:rsidR="0010509A" w:rsidRPr="008D19A0" w:rsidRDefault="0010509A" w:rsidP="0010509A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8D19A0" w:rsidRDefault="0010509A" w:rsidP="0010509A">
            <w:pPr>
              <w:tabs>
                <w:tab w:val="left" w:pos="11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9A0">
              <w:rPr>
                <w:rFonts w:ascii="Arial" w:hAnsi="Arial" w:cs="Arial"/>
                <w:bCs/>
                <w:sz w:val="20"/>
                <w:szCs w:val="20"/>
              </w:rPr>
              <w:t>Gwarancja minimum 36 miesięcy</w:t>
            </w:r>
          </w:p>
        </w:tc>
        <w:tc>
          <w:tcPr>
            <w:tcW w:w="3827" w:type="dxa"/>
          </w:tcPr>
          <w:p w:rsidR="0010509A" w:rsidRPr="008D19A0" w:rsidRDefault="0010509A" w:rsidP="0010509A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D19A0" w:rsidRPr="008D19A0" w:rsidRDefault="008D19A0" w:rsidP="008D19A0">
      <w:pPr>
        <w:pStyle w:val="Akapitzlist"/>
        <w:spacing w:line="259" w:lineRule="auto"/>
        <w:rPr>
          <w:rFonts w:ascii="Arial" w:hAnsi="Arial" w:cs="Arial"/>
        </w:rPr>
      </w:pPr>
    </w:p>
    <w:p w:rsidR="001D5CC5" w:rsidRPr="001D5CC5" w:rsidRDefault="001D5CC5" w:rsidP="001D5CC5">
      <w:pPr>
        <w:pStyle w:val="Akapitzlist"/>
        <w:numPr>
          <w:ilvl w:val="0"/>
          <w:numId w:val="73"/>
        </w:numPr>
        <w:spacing w:line="259" w:lineRule="auto"/>
        <w:rPr>
          <w:rFonts w:ascii="Arial" w:hAnsi="Arial" w:cs="Arial"/>
        </w:rPr>
      </w:pPr>
      <w:r w:rsidRPr="001D5CC5">
        <w:rPr>
          <w:rFonts w:ascii="Arial" w:hAnsi="Arial" w:cs="Arial"/>
          <w:b/>
        </w:rPr>
        <w:t xml:space="preserve">Monitor  – 2 </w:t>
      </w:r>
      <w:proofErr w:type="spellStart"/>
      <w:r w:rsidRPr="001D5CC5">
        <w:rPr>
          <w:rFonts w:ascii="Arial" w:hAnsi="Arial" w:cs="Arial"/>
          <w:b/>
        </w:rPr>
        <w:t>szt</w:t>
      </w:r>
      <w:proofErr w:type="spellEnd"/>
      <w:r w:rsidRPr="001D5CC5">
        <w:rPr>
          <w:rFonts w:ascii="Arial" w:hAnsi="Arial" w:cs="Arial"/>
        </w:rPr>
        <w:t>…………………………………</w:t>
      </w:r>
      <w:r w:rsidR="0010509A">
        <w:rPr>
          <w:rFonts w:ascii="Arial" w:hAnsi="Arial" w:cs="Arial"/>
        </w:rPr>
        <w:t>………..</w:t>
      </w:r>
      <w:r w:rsidRPr="001D5CC5">
        <w:rPr>
          <w:rFonts w:ascii="Arial" w:hAnsi="Arial" w:cs="Arial"/>
        </w:rPr>
        <w:t>……………….………….…………..…</w:t>
      </w:r>
    </w:p>
    <w:p w:rsidR="001D5CC5" w:rsidRPr="0010509A" w:rsidRDefault="001D5CC5" w:rsidP="001D5CC5">
      <w:pPr>
        <w:pStyle w:val="Akapitzlis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1D5CC5">
        <w:rPr>
          <w:rFonts w:ascii="Arial" w:hAnsi="Arial" w:cs="Arial"/>
        </w:rPr>
        <w:t xml:space="preserve">                                                     </w:t>
      </w:r>
      <w:r w:rsidRPr="0010509A">
        <w:rPr>
          <w:rFonts w:ascii="Arial" w:hAnsi="Arial" w:cs="Arial"/>
          <w:sz w:val="20"/>
          <w:szCs w:val="20"/>
        </w:rPr>
        <w:t>typ, model oferowanego przedmiotu zamówienia</w:t>
      </w:r>
    </w:p>
    <w:p w:rsidR="001D5CC5" w:rsidRPr="00BF5CA6" w:rsidRDefault="001D5CC5" w:rsidP="001D5CC5">
      <w:pPr>
        <w:pStyle w:val="Akapitzlist"/>
        <w:spacing w:after="160" w:line="259" w:lineRule="auto"/>
        <w:jc w:val="left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58"/>
        <w:gridCol w:w="3827"/>
      </w:tblGrid>
      <w:tr w:rsidR="000069A4" w:rsidRPr="004D40EF" w:rsidTr="000069A4">
        <w:tc>
          <w:tcPr>
            <w:tcW w:w="704" w:type="dxa"/>
          </w:tcPr>
          <w:p w:rsidR="000069A4" w:rsidRPr="004D40EF" w:rsidRDefault="000069A4" w:rsidP="001F54A5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4D40E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58" w:type="dxa"/>
          </w:tcPr>
          <w:p w:rsidR="000069A4" w:rsidRPr="004D40EF" w:rsidRDefault="000069A4" w:rsidP="001F54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40EF">
              <w:rPr>
                <w:rFonts w:ascii="Arial" w:hAnsi="Arial" w:cs="Arial"/>
                <w:b/>
                <w:sz w:val="20"/>
                <w:szCs w:val="20"/>
              </w:rPr>
              <w:t>Parametry, funkcjonalności</w:t>
            </w:r>
          </w:p>
        </w:tc>
        <w:tc>
          <w:tcPr>
            <w:tcW w:w="3827" w:type="dxa"/>
          </w:tcPr>
          <w:p w:rsidR="000069A4" w:rsidRPr="004D40EF" w:rsidRDefault="000069A4" w:rsidP="001F54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40EF">
              <w:rPr>
                <w:rFonts w:ascii="Arial" w:hAnsi="Arial" w:cs="Arial"/>
                <w:b/>
                <w:sz w:val="20"/>
                <w:szCs w:val="20"/>
              </w:rPr>
              <w:t>Oferowany przedmiot zamówienia</w:t>
            </w: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Monitor zewnętrzny o przekątnej ekranu minimum 32’’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Wyświetlana rozdzielczość minimum 3840 x 2160 pikseli (UHD 4K)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Liczba wyświetlanych kolorów: co najmniej 1,07 miliarda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 xml:space="preserve">Przestrzeń odwzorowania barw: 100% odwzorowania przestrzeni </w:t>
            </w:r>
            <w:proofErr w:type="spellStart"/>
            <w:r w:rsidRPr="0010509A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 w:rsidRPr="0010509A">
              <w:rPr>
                <w:rFonts w:ascii="Arial" w:hAnsi="Arial" w:cs="Arial"/>
                <w:sz w:val="20"/>
                <w:szCs w:val="20"/>
              </w:rPr>
              <w:t xml:space="preserve"> i Rec. 709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Głębia bitowa: 10 bit.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Matryca LED IPS – matowa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Czas reakcji matrycy: maksymalnie 4 ms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Technologia ochrony oczu: Redukcja migotania (</w:t>
            </w:r>
            <w:proofErr w:type="spellStart"/>
            <w:r w:rsidRPr="0010509A">
              <w:rPr>
                <w:rFonts w:ascii="Arial" w:hAnsi="Arial" w:cs="Arial"/>
                <w:sz w:val="20"/>
                <w:szCs w:val="20"/>
              </w:rPr>
              <w:t>Flicker</w:t>
            </w:r>
            <w:proofErr w:type="spellEnd"/>
            <w:r w:rsidRPr="001050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09A"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  <w:r w:rsidRPr="001050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 xml:space="preserve">Wbudowane głośniki 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Kąt widzenia w pionie / w poziomie  nie mniejszy niż 178 stopni / 178 stopni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Obudowa umożliwiająca pochylanie wyświetlacza i jego obrót, zmianę wysokości oraz instalację na uchwycie typu VESA, praca w trybie pionowym (PIVOT)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Proporcje obrazu 16:9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 xml:space="preserve">Częstotliwość odświeżania: co najmniej 60 </w:t>
            </w:r>
            <w:proofErr w:type="spellStart"/>
            <w:r w:rsidRPr="0010509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 xml:space="preserve">Obsługa co najmniej złącz: HDMI x 1, </w:t>
            </w:r>
            <w:proofErr w:type="spellStart"/>
            <w:r w:rsidRPr="0010509A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0509A">
              <w:rPr>
                <w:rFonts w:ascii="Arial" w:hAnsi="Arial" w:cs="Arial"/>
                <w:sz w:val="20"/>
                <w:szCs w:val="20"/>
              </w:rPr>
              <w:t xml:space="preserve"> x 1, Mini </w:t>
            </w:r>
            <w:proofErr w:type="spellStart"/>
            <w:r w:rsidRPr="0010509A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0509A">
              <w:rPr>
                <w:rFonts w:ascii="Arial" w:hAnsi="Arial" w:cs="Arial"/>
                <w:sz w:val="20"/>
                <w:szCs w:val="20"/>
              </w:rPr>
              <w:t xml:space="preserve"> x 1, wyjście liniowe audio.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Złącza sygnałowe zapewniające podłączenia dwóch monitorów do jednego komputera stacjonarnego  dostarczanych w niniejszym zamówieniu. Należy dostarczyć właściwe przewody sygnałowe.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Zasilacz wbudowany</w:t>
            </w:r>
          </w:p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 xml:space="preserve">Napięcie zasilania 240 V </w:t>
            </w:r>
          </w:p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>Zużycie energii nie większe niż 0,5W - w stanie czuwania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sz w:val="20"/>
                <w:szCs w:val="20"/>
              </w:rPr>
              <w:t xml:space="preserve">Zgodność z normami co najmniej CE, TCO 6.0, </w:t>
            </w:r>
            <w:proofErr w:type="spellStart"/>
            <w:r w:rsidRPr="0010509A">
              <w:rPr>
                <w:rFonts w:ascii="Arial" w:hAnsi="Arial" w:cs="Arial"/>
                <w:sz w:val="20"/>
                <w:szCs w:val="20"/>
              </w:rPr>
              <w:t>EnergyStar</w:t>
            </w:r>
            <w:proofErr w:type="spellEnd"/>
            <w:r w:rsidRPr="0010509A">
              <w:rPr>
                <w:rFonts w:ascii="Arial" w:hAnsi="Arial" w:cs="Arial"/>
                <w:sz w:val="20"/>
                <w:szCs w:val="20"/>
              </w:rPr>
              <w:t xml:space="preserve"> 6.0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9A" w:rsidRPr="004D40EF" w:rsidTr="000069A4">
        <w:tc>
          <w:tcPr>
            <w:tcW w:w="704" w:type="dxa"/>
          </w:tcPr>
          <w:p w:rsidR="0010509A" w:rsidRPr="004D40EF" w:rsidRDefault="0010509A" w:rsidP="0010509A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10509A" w:rsidRPr="0010509A" w:rsidRDefault="0010509A" w:rsidP="00105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09A">
              <w:rPr>
                <w:rFonts w:ascii="Arial" w:hAnsi="Arial" w:cs="Arial"/>
                <w:bCs/>
                <w:sz w:val="20"/>
                <w:szCs w:val="20"/>
              </w:rPr>
              <w:t>Gwarancja minimum 36 miesięcy</w:t>
            </w:r>
          </w:p>
        </w:tc>
        <w:tc>
          <w:tcPr>
            <w:tcW w:w="3827" w:type="dxa"/>
          </w:tcPr>
          <w:p w:rsidR="0010509A" w:rsidRPr="004D40EF" w:rsidRDefault="0010509A" w:rsidP="001050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1247" w:rsidRDefault="00A41247" w:rsidP="00A41247">
      <w:pPr>
        <w:rPr>
          <w:rFonts w:ascii="Arial" w:hAnsi="Arial" w:cs="Arial"/>
        </w:rPr>
      </w:pPr>
    </w:p>
    <w:p w:rsidR="004D40EF" w:rsidRPr="0041262C" w:rsidRDefault="004D40EF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10509A" w:rsidRDefault="00A41247" w:rsidP="0010509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Default="00A41247" w:rsidP="00D501FC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</w:p>
    <w:sectPr w:rsidR="00A41247" w:rsidSect="00FE4503">
      <w:headerReference w:type="default" r:id="rId11"/>
      <w:footerReference w:type="default" r:id="rId12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A5" w:rsidRDefault="001F54A5">
      <w:pPr>
        <w:spacing w:after="0" w:line="240" w:lineRule="auto"/>
      </w:pPr>
      <w:r>
        <w:separator/>
      </w:r>
    </w:p>
  </w:endnote>
  <w:endnote w:type="continuationSeparator" w:id="0">
    <w:p w:rsidR="001F54A5" w:rsidRDefault="001F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Default="001F54A5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A5" w:rsidRDefault="001F5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54A5" w:rsidRDefault="001F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Pr="005652B8" w:rsidRDefault="001F54A5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KZp.2730.27.30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002C6F"/>
    <w:multiLevelType w:val="hybridMultilevel"/>
    <w:tmpl w:val="882EF5D4"/>
    <w:lvl w:ilvl="0" w:tplc="4BDCC7DA">
      <w:start w:val="1"/>
      <w:numFmt w:val="decimal"/>
      <w:lvlText w:val="1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1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3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69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5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4"/>
  </w:num>
  <w:num w:numId="23">
    <w:abstractNumId w:val="67"/>
  </w:num>
  <w:num w:numId="24">
    <w:abstractNumId w:val="73"/>
  </w:num>
  <w:num w:numId="25">
    <w:abstractNumId w:val="47"/>
  </w:num>
  <w:num w:numId="26">
    <w:abstractNumId w:val="68"/>
  </w:num>
  <w:num w:numId="27">
    <w:abstractNumId w:val="66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2"/>
  </w:num>
  <w:num w:numId="35">
    <w:abstractNumId w:val="25"/>
  </w:num>
  <w:num w:numId="36">
    <w:abstractNumId w:val="14"/>
  </w:num>
  <w:num w:numId="37">
    <w:abstractNumId w:val="72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0"/>
  </w:num>
  <w:num w:numId="44">
    <w:abstractNumId w:val="41"/>
  </w:num>
  <w:num w:numId="45">
    <w:abstractNumId w:val="60"/>
  </w:num>
  <w:num w:numId="46">
    <w:abstractNumId w:val="16"/>
  </w:num>
  <w:num w:numId="47">
    <w:abstractNumId w:val="38"/>
  </w:num>
  <w:num w:numId="48">
    <w:abstractNumId w:val="59"/>
  </w:num>
  <w:num w:numId="49">
    <w:abstractNumId w:val="5"/>
  </w:num>
  <w:num w:numId="50">
    <w:abstractNumId w:val="17"/>
  </w:num>
  <w:num w:numId="51">
    <w:abstractNumId w:val="61"/>
  </w:num>
  <w:num w:numId="52">
    <w:abstractNumId w:val="24"/>
  </w:num>
  <w:num w:numId="53">
    <w:abstractNumId w:val="58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6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7"/>
  </w:num>
  <w:num w:numId="65">
    <w:abstractNumId w:val="2"/>
  </w:num>
  <w:num w:numId="66">
    <w:abstractNumId w:val="63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D6896"/>
    <w:rsid w:val="002E19F1"/>
    <w:rsid w:val="00303CEF"/>
    <w:rsid w:val="00320702"/>
    <w:rsid w:val="00345255"/>
    <w:rsid w:val="003A68DF"/>
    <w:rsid w:val="003E4ADD"/>
    <w:rsid w:val="004128CC"/>
    <w:rsid w:val="004A1589"/>
    <w:rsid w:val="004D40EF"/>
    <w:rsid w:val="0052444C"/>
    <w:rsid w:val="00531735"/>
    <w:rsid w:val="00536377"/>
    <w:rsid w:val="0056058E"/>
    <w:rsid w:val="00563B16"/>
    <w:rsid w:val="005652B8"/>
    <w:rsid w:val="005B6A90"/>
    <w:rsid w:val="0062423D"/>
    <w:rsid w:val="00641076"/>
    <w:rsid w:val="006B3B05"/>
    <w:rsid w:val="006C4438"/>
    <w:rsid w:val="007323CB"/>
    <w:rsid w:val="00746946"/>
    <w:rsid w:val="007513F1"/>
    <w:rsid w:val="00774590"/>
    <w:rsid w:val="007925D2"/>
    <w:rsid w:val="007A08FB"/>
    <w:rsid w:val="00887B70"/>
    <w:rsid w:val="008D19A0"/>
    <w:rsid w:val="00915689"/>
    <w:rsid w:val="009306C7"/>
    <w:rsid w:val="00935B09"/>
    <w:rsid w:val="009958CD"/>
    <w:rsid w:val="009D3AE6"/>
    <w:rsid w:val="009E25EA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B02AE4"/>
    <w:rsid w:val="00B73B4A"/>
    <w:rsid w:val="00B95A67"/>
    <w:rsid w:val="00BA42F3"/>
    <w:rsid w:val="00BC093C"/>
    <w:rsid w:val="00BF5CA6"/>
    <w:rsid w:val="00C17BA3"/>
    <w:rsid w:val="00CB0747"/>
    <w:rsid w:val="00CC3FDB"/>
    <w:rsid w:val="00CE6BBA"/>
    <w:rsid w:val="00D1186E"/>
    <w:rsid w:val="00D2295A"/>
    <w:rsid w:val="00D27A60"/>
    <w:rsid w:val="00D475B2"/>
    <w:rsid w:val="00D501FC"/>
    <w:rsid w:val="00D80183"/>
    <w:rsid w:val="00DD2F72"/>
    <w:rsid w:val="00DF3892"/>
    <w:rsid w:val="00E52352"/>
    <w:rsid w:val="00E57788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-energyst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4</cp:revision>
  <cp:lastPrinted>2020-06-24T06:47:00Z</cp:lastPrinted>
  <dcterms:created xsi:type="dcterms:W3CDTF">2020-06-25T09:55:00Z</dcterms:created>
  <dcterms:modified xsi:type="dcterms:W3CDTF">2020-06-26T06:24:00Z</dcterms:modified>
</cp:coreProperties>
</file>