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3E22C" w14:textId="022D1DA0" w:rsidR="00E43ADD" w:rsidRPr="00A3394F" w:rsidRDefault="005E585F" w:rsidP="00A3394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1</w:t>
      </w:r>
      <w:bookmarkStart w:id="0" w:name="_GoBack"/>
      <w:bookmarkEnd w:id="0"/>
    </w:p>
    <w:p w14:paraId="590891D1" w14:textId="77777777" w:rsidR="00E43ADD" w:rsidRPr="00B102D8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102D8">
        <w:rPr>
          <w:rFonts w:asciiTheme="minorHAnsi" w:hAnsiTheme="minorHAnsi" w:cstheme="minorHAnsi"/>
          <w:b/>
        </w:rPr>
        <w:t>Szczegółowy opis przedmiotu zamówienia</w:t>
      </w:r>
    </w:p>
    <w:p w14:paraId="38CEE4FB" w14:textId="4EF4CA0B" w:rsidR="00E43ADD" w:rsidRPr="00A3394F" w:rsidRDefault="00E43ADD" w:rsidP="00A3394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A3394F" w:rsidRPr="00B102D8">
        <w:rPr>
          <w:rFonts w:asciiTheme="minorHAnsi" w:hAnsiTheme="minorHAnsi" w:cstheme="minorHAnsi"/>
          <w:b/>
        </w:rPr>
        <w:t>Fizjoterapia</w:t>
      </w:r>
      <w:r w:rsidR="00A3394F" w:rsidRPr="00B102D8">
        <w:rPr>
          <w:rFonts w:asciiTheme="minorHAnsi" w:hAnsiTheme="minorHAnsi" w:cstheme="minorHAnsi"/>
        </w:rPr>
        <w:t xml:space="preserve"> </w:t>
      </w:r>
      <w:r w:rsidR="00A3394F" w:rsidRPr="00B102D8">
        <w:rPr>
          <w:rFonts w:asciiTheme="minorHAnsi" w:hAnsiTheme="minorHAnsi" w:cstheme="minorHAnsi"/>
          <w:b/>
        </w:rPr>
        <w:t>II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Pr="00B102D8">
        <w:rPr>
          <w:rFonts w:asciiTheme="minorHAnsi" w:hAnsiTheme="minorHAnsi" w:cstheme="minorHAnsi"/>
        </w:rPr>
        <w:t xml:space="preserve">z przedmiotu </w:t>
      </w:r>
      <w:r w:rsidR="004A3209">
        <w:rPr>
          <w:rFonts w:asciiTheme="minorHAnsi" w:hAnsiTheme="minorHAnsi" w:cstheme="minorHAnsi"/>
          <w:b/>
          <w:i/>
        </w:rPr>
        <w:t>Komunikacja kliniczna</w:t>
      </w:r>
      <w:r w:rsidRPr="00A3394F">
        <w:rPr>
          <w:rFonts w:asciiTheme="minorHAnsi" w:hAnsiTheme="minorHAnsi" w:cstheme="minorHAnsi"/>
        </w:rPr>
        <w:t xml:space="preserve">, dla </w:t>
      </w:r>
      <w:r w:rsidR="004A3209" w:rsidRPr="004A3209">
        <w:rPr>
          <w:rFonts w:asciiTheme="minorHAnsi" w:hAnsiTheme="minorHAnsi" w:cstheme="minorHAnsi"/>
          <w:b/>
          <w:i/>
        </w:rPr>
        <w:t>10</w:t>
      </w:r>
      <w:r w:rsidR="00B102D8" w:rsidRPr="003013F0">
        <w:rPr>
          <w:rFonts w:asciiTheme="minorHAnsi" w:hAnsiTheme="minorHAnsi" w:cstheme="minorHAnsi"/>
          <w:b/>
          <w:i/>
        </w:rPr>
        <w:t xml:space="preserve"> </w:t>
      </w:r>
      <w:r w:rsidR="00B102D8" w:rsidRPr="00A3394F">
        <w:rPr>
          <w:rFonts w:asciiTheme="minorHAnsi" w:hAnsiTheme="minorHAnsi" w:cstheme="minorHAnsi"/>
          <w:b/>
          <w:i/>
        </w:rPr>
        <w:t>godz. dydaktycznyc</w:t>
      </w:r>
      <w:r w:rsidR="004A3209">
        <w:rPr>
          <w:rFonts w:asciiTheme="minorHAnsi" w:hAnsiTheme="minorHAnsi" w:cstheme="minorHAnsi"/>
          <w:b/>
          <w:i/>
        </w:rPr>
        <w:t>h WYKŁADU oraz 5</w:t>
      </w:r>
      <w:r w:rsidR="00B102D8" w:rsidRPr="00A3394F">
        <w:rPr>
          <w:rFonts w:asciiTheme="minorHAnsi" w:hAnsiTheme="minorHAnsi" w:cstheme="minorHAnsi"/>
          <w:b/>
          <w:i/>
        </w:rPr>
        <w:t xml:space="preserve"> godz. </w:t>
      </w:r>
      <w:r w:rsidR="00A3394F">
        <w:rPr>
          <w:rFonts w:asciiTheme="minorHAnsi" w:hAnsiTheme="minorHAnsi" w:cstheme="minorHAnsi"/>
          <w:b/>
          <w:i/>
        </w:rPr>
        <w:t>d</w:t>
      </w:r>
      <w:r w:rsidR="00B102D8" w:rsidRPr="00A3394F">
        <w:rPr>
          <w:rFonts w:asciiTheme="minorHAnsi" w:hAnsiTheme="minorHAnsi" w:cstheme="minorHAnsi"/>
          <w:b/>
          <w:i/>
        </w:rPr>
        <w:t xml:space="preserve">ydaktycznych </w:t>
      </w:r>
      <w:r w:rsidR="00A40E0B">
        <w:rPr>
          <w:rFonts w:asciiTheme="minorHAnsi" w:hAnsiTheme="minorHAnsi" w:cstheme="minorHAnsi"/>
          <w:b/>
          <w:i/>
        </w:rPr>
        <w:t>SEMINARIUM</w:t>
      </w:r>
      <w:r w:rsidR="00B102D8" w:rsidRPr="00A3394F">
        <w:rPr>
          <w:rFonts w:asciiTheme="minorHAnsi" w:hAnsiTheme="minorHAnsi" w:cstheme="minorHAnsi"/>
          <w:b/>
          <w:i/>
        </w:rPr>
        <w:t>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>Zakres tematyczny materiałów e-learningowych do zajęć dydaktycznych: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8057"/>
        <w:gridCol w:w="1276"/>
      </w:tblGrid>
      <w:tr w:rsidR="00E43ADD" w:rsidRPr="007612FD" w14:paraId="6B56DEF1" w14:textId="77777777" w:rsidTr="007612FD">
        <w:trPr>
          <w:trHeight w:val="34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743333CB" w14:textId="2B999B96" w:rsidR="00E43ADD" w:rsidRPr="007612FD" w:rsidRDefault="004A3209" w:rsidP="004A32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612FD">
              <w:rPr>
                <w:rFonts w:asciiTheme="minorHAnsi" w:hAnsiTheme="minorHAnsi" w:cstheme="minorHAnsi"/>
                <w:b/>
              </w:rPr>
              <w:t>Komunikacja kliniczna</w:t>
            </w:r>
            <w:r w:rsidR="005943D6" w:rsidRPr="007612FD">
              <w:rPr>
                <w:rFonts w:asciiTheme="minorHAnsi" w:hAnsiTheme="minorHAnsi" w:cstheme="minorHAnsi"/>
                <w:b/>
              </w:rPr>
              <w:t xml:space="preserve">, WYKŁAD, </w:t>
            </w:r>
            <w:r w:rsidRPr="007612FD">
              <w:rPr>
                <w:rFonts w:asciiTheme="minorHAnsi" w:hAnsiTheme="minorHAnsi" w:cstheme="minorHAnsi"/>
                <w:b/>
              </w:rPr>
              <w:t>10</w:t>
            </w:r>
            <w:r w:rsidR="00E43ADD" w:rsidRPr="007612FD">
              <w:rPr>
                <w:rFonts w:asciiTheme="minorHAnsi" w:hAnsiTheme="minorHAnsi" w:cstheme="minorHAnsi"/>
                <w:b/>
              </w:rPr>
              <w:t xml:space="preserve"> godz. </w:t>
            </w:r>
            <w:r w:rsidR="007612FD" w:rsidRPr="007612FD">
              <w:rPr>
                <w:rFonts w:asciiTheme="minorHAnsi" w:hAnsiTheme="minorHAnsi" w:cstheme="minorHAnsi"/>
                <w:b/>
              </w:rPr>
              <w:t>D</w:t>
            </w:r>
            <w:r w:rsidR="00E43ADD" w:rsidRPr="007612FD">
              <w:rPr>
                <w:rFonts w:asciiTheme="minorHAnsi" w:hAnsiTheme="minorHAnsi" w:cstheme="minorHAnsi"/>
                <w:b/>
              </w:rPr>
              <w:t>ydaktycznych</w:t>
            </w:r>
          </w:p>
        </w:tc>
      </w:tr>
      <w:tr w:rsidR="00E43ADD" w:rsidRPr="007612FD" w14:paraId="62791652" w14:textId="77777777" w:rsidTr="007612FD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7EB3A87A" w14:textId="77777777" w:rsidR="00E43ADD" w:rsidRPr="007612FD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1" w:name="OLE_LINK11"/>
            <w:bookmarkStart w:id="2" w:name="OLE_LINK12"/>
            <w:r w:rsidRPr="007612F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057" w:type="dxa"/>
            <w:shd w:val="clear" w:color="auto" w:fill="auto"/>
            <w:vAlign w:val="center"/>
          </w:tcPr>
          <w:p w14:paraId="4D5343EF" w14:textId="77777777" w:rsidR="00E43ADD" w:rsidRPr="007612FD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612FD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20C28" w14:textId="77777777" w:rsidR="00E43ADD" w:rsidRPr="007612FD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612FD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49005D" w:rsidRPr="007612FD" w14:paraId="0AC8EE4B" w14:textId="77777777" w:rsidTr="007612FD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A5A460B" w14:textId="77777777" w:rsidR="0049005D" w:rsidRPr="007612FD" w:rsidRDefault="0049005D" w:rsidP="004900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14:paraId="543DF04F" w14:textId="1B65D335" w:rsidR="0049005D" w:rsidRPr="007612FD" w:rsidRDefault="0049005D" w:rsidP="0049005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 xml:space="preserve">Teoretyczne modele komunikacji – </w:t>
            </w:r>
            <w:proofErr w:type="spellStart"/>
            <w:r w:rsidRPr="007612FD">
              <w:rPr>
                <w:rFonts w:asciiTheme="minorHAnsi" w:hAnsiTheme="minorHAnsi" w:cstheme="minorHAnsi"/>
              </w:rPr>
              <w:t>Shannon`a</w:t>
            </w:r>
            <w:proofErr w:type="spellEnd"/>
            <w:r w:rsidRPr="007612F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612FD">
              <w:rPr>
                <w:rFonts w:asciiTheme="minorHAnsi" w:hAnsiTheme="minorHAnsi" w:cstheme="minorHAnsi"/>
              </w:rPr>
              <w:t>Weaver`a</w:t>
            </w:r>
            <w:proofErr w:type="spellEnd"/>
            <w:r w:rsidRPr="007612FD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7612FD">
              <w:rPr>
                <w:rFonts w:asciiTheme="minorHAnsi" w:hAnsiTheme="minorHAnsi" w:cstheme="minorHAnsi"/>
              </w:rPr>
              <w:t>Schulz`a</w:t>
            </w:r>
            <w:proofErr w:type="spellEnd"/>
            <w:r w:rsidRPr="007612FD">
              <w:rPr>
                <w:rFonts w:asciiTheme="minorHAnsi" w:hAnsiTheme="minorHAnsi" w:cstheme="minorHAnsi"/>
              </w:rPr>
              <w:t xml:space="preserve"> von </w:t>
            </w:r>
            <w:proofErr w:type="spellStart"/>
            <w:r w:rsidRPr="007612FD">
              <w:rPr>
                <w:rFonts w:asciiTheme="minorHAnsi" w:hAnsiTheme="minorHAnsi" w:cstheme="minorHAnsi"/>
              </w:rPr>
              <w:t>Thun`a</w:t>
            </w:r>
            <w:proofErr w:type="spellEnd"/>
            <w:r w:rsidRPr="007612FD">
              <w:rPr>
                <w:rFonts w:asciiTheme="minorHAnsi" w:hAnsiTheme="minorHAnsi" w:cstheme="minorHAnsi"/>
              </w:rPr>
              <w:t xml:space="preserve"> i ich zastosowanie w codziennej praktyce fizjoterapeuty.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8D825" w14:textId="74FBA9A9" w:rsidR="0049005D" w:rsidRPr="007612FD" w:rsidRDefault="0049005D" w:rsidP="004900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1</w:t>
            </w:r>
          </w:p>
        </w:tc>
      </w:tr>
      <w:tr w:rsidR="0049005D" w:rsidRPr="007612FD" w14:paraId="2CF7E73E" w14:textId="77777777" w:rsidTr="007612FD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96A6778" w14:textId="77777777" w:rsidR="0049005D" w:rsidRPr="007612FD" w:rsidRDefault="0049005D" w:rsidP="004900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14:paraId="62105795" w14:textId="2C6469ED" w:rsidR="0049005D" w:rsidRPr="007612FD" w:rsidRDefault="0049005D" w:rsidP="0049005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 xml:space="preserve">Podstawowe elementy procesu komunikacji i ich znaczenie dla prawidłowego jej przebiegu.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CEC09" w14:textId="61B67A3F" w:rsidR="0049005D" w:rsidRPr="007612FD" w:rsidRDefault="0049005D" w:rsidP="004900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1</w:t>
            </w:r>
          </w:p>
        </w:tc>
      </w:tr>
      <w:tr w:rsidR="0049005D" w:rsidRPr="007612FD" w14:paraId="717A72CF" w14:textId="77777777" w:rsidTr="007612FD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3D6F046C" w14:textId="77777777" w:rsidR="0049005D" w:rsidRPr="007612FD" w:rsidRDefault="0049005D" w:rsidP="004900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14:paraId="67098756" w14:textId="2340827D" w:rsidR="0049005D" w:rsidRPr="007612FD" w:rsidRDefault="0049005D" w:rsidP="0049005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Problematyka komunikacji niewerbalnej – omówienie znaczenia poszczególnych sygnałów i ich zastosowanie w praktyce zawodowej – np. ocena natężenia bólu.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9E1DB" w14:textId="3898119B" w:rsidR="0049005D" w:rsidRPr="007612FD" w:rsidRDefault="0049005D" w:rsidP="004900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1</w:t>
            </w:r>
          </w:p>
        </w:tc>
      </w:tr>
      <w:tr w:rsidR="0049005D" w:rsidRPr="007612FD" w14:paraId="63389A0F" w14:textId="77777777" w:rsidTr="007612FD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019370E7" w14:textId="77777777" w:rsidR="0049005D" w:rsidRPr="007612FD" w:rsidRDefault="0049005D" w:rsidP="004900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14:paraId="105F1195" w14:textId="7CDAC3A2" w:rsidR="0049005D" w:rsidRPr="007612FD" w:rsidRDefault="0049005D" w:rsidP="0049005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Komunikacja werbalna - rozpoznawanie stylów komunikacji interpersonalnej; czynniki zakłócające komunikację - bariery komunikacyjne i konsekwencje zakłóconej komunikacji w relacji z pacjentem.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2356F" w14:textId="6300FC12" w:rsidR="0049005D" w:rsidRPr="007612FD" w:rsidRDefault="0049005D" w:rsidP="004900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1</w:t>
            </w:r>
          </w:p>
        </w:tc>
      </w:tr>
      <w:tr w:rsidR="0049005D" w:rsidRPr="007612FD" w14:paraId="14DEA9FE" w14:textId="77777777" w:rsidTr="007612FD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00B95A2C" w14:textId="69272462" w:rsidR="0049005D" w:rsidRPr="007612FD" w:rsidRDefault="0049005D" w:rsidP="004900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14:paraId="61C5070D" w14:textId="6F900FF7" w:rsidR="0049005D" w:rsidRPr="007612FD" w:rsidRDefault="0049005D" w:rsidP="0049005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 xml:space="preserve">Specyfika komunikowania się  z: osobami niedowidzącymi i niewidomymi; z uszkodzonym słuchem; dziećmi; ludźmi starszymi; chorymi psychicznie; pacjentem neurologicznym, ciężko chorym; onkologicznym.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C58FC" w14:textId="37D32651" w:rsidR="0049005D" w:rsidRPr="007612FD" w:rsidRDefault="0049005D" w:rsidP="004900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2</w:t>
            </w:r>
          </w:p>
        </w:tc>
      </w:tr>
      <w:tr w:rsidR="0049005D" w:rsidRPr="007612FD" w14:paraId="4B327108" w14:textId="77777777" w:rsidTr="007612FD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7CCE73FE" w14:textId="1DABB3B2" w:rsidR="0049005D" w:rsidRPr="007612FD" w:rsidRDefault="0049005D" w:rsidP="004900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057" w:type="dxa"/>
            <w:shd w:val="clear" w:color="auto" w:fill="auto"/>
          </w:tcPr>
          <w:p w14:paraId="1744D515" w14:textId="1CE583A4" w:rsidR="0049005D" w:rsidRPr="007612FD" w:rsidRDefault="0049005D" w:rsidP="0049005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 xml:space="preserve">Rola asertywności, akceptacji, empatii, agresji, a także zastosowanie AT, MMB, DM0 i metamodelu.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F3935" w14:textId="3A71BADB" w:rsidR="0049005D" w:rsidRPr="007612FD" w:rsidRDefault="0049005D" w:rsidP="004900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2</w:t>
            </w:r>
          </w:p>
        </w:tc>
      </w:tr>
      <w:tr w:rsidR="0049005D" w:rsidRPr="007612FD" w14:paraId="2F7EB11B" w14:textId="77777777" w:rsidTr="007612FD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71B907C9" w14:textId="5F198350" w:rsidR="0049005D" w:rsidRPr="007612FD" w:rsidRDefault="0049005D" w:rsidP="004900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057" w:type="dxa"/>
            <w:shd w:val="clear" w:color="auto" w:fill="auto"/>
          </w:tcPr>
          <w:p w14:paraId="626CA859" w14:textId="0AEB985F" w:rsidR="0049005D" w:rsidRPr="007612FD" w:rsidRDefault="0049005D" w:rsidP="0049005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Wiedza i podstawowe umiejętności konieczne do rozwinięcia efektywnej komunikacji terapeutycznej, udzielania konstruktywnej informacji zwrotnej, informowania pacjenta i radzenie sobie z krytyką – trudne relacje z pacjentem, konflikty.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341C2" w14:textId="381A3DB3" w:rsidR="0049005D" w:rsidRPr="007612FD" w:rsidRDefault="0049005D" w:rsidP="004900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2</w:t>
            </w:r>
          </w:p>
        </w:tc>
      </w:tr>
      <w:tr w:rsidR="00E43ADD" w:rsidRPr="007612FD" w14:paraId="5A9CDF83" w14:textId="77777777" w:rsidTr="007612FD">
        <w:trPr>
          <w:trHeight w:val="34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3D06540C" w14:textId="77777777" w:rsidR="00E43ADD" w:rsidRPr="007612FD" w:rsidRDefault="00E43ADD" w:rsidP="00BD7AC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7612FD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3136C" w14:textId="55427E10" w:rsidR="00E43ADD" w:rsidRPr="007612FD" w:rsidRDefault="004A3209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612FD">
              <w:rPr>
                <w:rFonts w:asciiTheme="minorHAnsi" w:hAnsiTheme="minorHAnsi" w:cstheme="minorHAnsi"/>
                <w:b/>
              </w:rPr>
              <w:t>10</w:t>
            </w:r>
          </w:p>
        </w:tc>
      </w:tr>
      <w:bookmarkEnd w:id="1"/>
      <w:bookmarkEnd w:id="2"/>
    </w:tbl>
    <w:p w14:paraId="6853B827" w14:textId="77777777" w:rsidR="00BD7AC8" w:rsidRDefault="00BD7AC8" w:rsidP="00447FF7">
      <w:pPr>
        <w:spacing w:after="0" w:line="276" w:lineRule="auto"/>
        <w:jc w:val="both"/>
        <w:rPr>
          <w:rFonts w:cstheme="minorHAnsi"/>
        </w:rPr>
      </w:pPr>
    </w:p>
    <w:p w14:paraId="66B07120" w14:textId="77777777" w:rsidR="007612FD" w:rsidRPr="00A3394F" w:rsidRDefault="007612FD" w:rsidP="00447FF7">
      <w:pPr>
        <w:spacing w:after="0" w:line="276" w:lineRule="auto"/>
        <w:jc w:val="both"/>
        <w:rPr>
          <w:rFonts w:cstheme="minorHAnsi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938"/>
        <w:gridCol w:w="1276"/>
      </w:tblGrid>
      <w:tr w:rsidR="00A3394F" w:rsidRPr="007612FD" w14:paraId="21948729" w14:textId="77777777" w:rsidTr="007612FD">
        <w:trPr>
          <w:trHeight w:val="34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22AEA8F5" w14:textId="7B8F97E5" w:rsidR="00A3394F" w:rsidRPr="007612FD" w:rsidRDefault="004A3209" w:rsidP="004A32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612FD">
              <w:rPr>
                <w:rFonts w:asciiTheme="minorHAnsi" w:hAnsiTheme="minorHAnsi" w:cstheme="minorHAnsi"/>
                <w:b/>
              </w:rPr>
              <w:t>Komunikacja kliniczna</w:t>
            </w:r>
            <w:r w:rsidR="00A3394F" w:rsidRPr="007612FD">
              <w:rPr>
                <w:rFonts w:asciiTheme="minorHAnsi" w:hAnsiTheme="minorHAnsi" w:cstheme="minorHAnsi"/>
                <w:b/>
              </w:rPr>
              <w:t xml:space="preserve">, </w:t>
            </w:r>
            <w:r w:rsidR="00A40E0B" w:rsidRPr="007612FD">
              <w:rPr>
                <w:rFonts w:asciiTheme="minorHAnsi" w:hAnsiTheme="minorHAnsi" w:cstheme="minorHAnsi"/>
                <w:b/>
              </w:rPr>
              <w:t>SEMINARIUM</w:t>
            </w:r>
            <w:r w:rsidRPr="007612FD">
              <w:rPr>
                <w:rFonts w:asciiTheme="minorHAnsi" w:hAnsiTheme="minorHAnsi" w:cstheme="minorHAnsi"/>
                <w:b/>
              </w:rPr>
              <w:t>, 5</w:t>
            </w:r>
            <w:r w:rsidR="00A3394F" w:rsidRPr="007612FD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A3394F" w:rsidRPr="007612FD" w14:paraId="7EDD73F5" w14:textId="77777777" w:rsidTr="007612FD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5A1206A9" w14:textId="77777777" w:rsidR="00A3394F" w:rsidRPr="007612FD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612F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0966846" w14:textId="77777777" w:rsidR="00A3394F" w:rsidRPr="007612FD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612FD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B07F8" w14:textId="77777777" w:rsidR="00A3394F" w:rsidRPr="007612FD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612FD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49005D" w:rsidRPr="007612FD" w14:paraId="344E980D" w14:textId="77777777" w:rsidTr="007612FD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10B6728F" w14:textId="77777777" w:rsidR="0049005D" w:rsidRPr="007612FD" w:rsidRDefault="0049005D" w:rsidP="004900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42558D13" w14:textId="4B9F5320" w:rsidR="0049005D" w:rsidRPr="007612FD" w:rsidRDefault="0049005D" w:rsidP="0049005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2FD">
              <w:rPr>
                <w:rFonts w:asciiTheme="minorHAnsi" w:hAnsiTheme="minorHAnsi" w:cstheme="minorHAnsi"/>
                <w:sz w:val="22"/>
                <w:szCs w:val="22"/>
              </w:rPr>
              <w:t xml:space="preserve">Teoretyczne modele komunikacji – </w:t>
            </w:r>
            <w:proofErr w:type="spellStart"/>
            <w:r w:rsidRPr="007612FD">
              <w:rPr>
                <w:rFonts w:asciiTheme="minorHAnsi" w:hAnsiTheme="minorHAnsi" w:cstheme="minorHAnsi"/>
                <w:sz w:val="22"/>
                <w:szCs w:val="22"/>
              </w:rPr>
              <w:t>Shannon`a</w:t>
            </w:r>
            <w:proofErr w:type="spellEnd"/>
            <w:r w:rsidRPr="007612F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612FD">
              <w:rPr>
                <w:rFonts w:asciiTheme="minorHAnsi" w:hAnsiTheme="minorHAnsi" w:cstheme="minorHAnsi"/>
                <w:sz w:val="22"/>
                <w:szCs w:val="22"/>
              </w:rPr>
              <w:t>Weaver`a</w:t>
            </w:r>
            <w:proofErr w:type="spellEnd"/>
            <w:r w:rsidRPr="007612F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7612FD">
              <w:rPr>
                <w:rFonts w:asciiTheme="minorHAnsi" w:hAnsiTheme="minorHAnsi" w:cstheme="minorHAnsi"/>
                <w:sz w:val="22"/>
                <w:szCs w:val="22"/>
              </w:rPr>
              <w:t>Schulz`a</w:t>
            </w:r>
            <w:proofErr w:type="spellEnd"/>
            <w:r w:rsidRPr="007612FD">
              <w:rPr>
                <w:rFonts w:asciiTheme="minorHAnsi" w:hAnsiTheme="minorHAnsi" w:cstheme="minorHAnsi"/>
                <w:sz w:val="22"/>
                <w:szCs w:val="22"/>
              </w:rPr>
              <w:t xml:space="preserve"> von </w:t>
            </w:r>
            <w:proofErr w:type="spellStart"/>
            <w:r w:rsidRPr="007612FD">
              <w:rPr>
                <w:rFonts w:asciiTheme="minorHAnsi" w:hAnsiTheme="minorHAnsi" w:cstheme="minorHAnsi"/>
                <w:sz w:val="22"/>
                <w:szCs w:val="22"/>
              </w:rPr>
              <w:t>Thun`a</w:t>
            </w:r>
            <w:proofErr w:type="spellEnd"/>
            <w:r w:rsidRPr="007612FD">
              <w:rPr>
                <w:rFonts w:asciiTheme="minorHAnsi" w:hAnsiTheme="minorHAnsi" w:cstheme="minorHAnsi"/>
                <w:sz w:val="22"/>
                <w:szCs w:val="22"/>
              </w:rPr>
              <w:t xml:space="preserve"> i ich zastosowanie w codziennej praktyce fizjoterapeuty. </w:t>
            </w:r>
            <w:r w:rsidR="007612FD" w:rsidRPr="007612FD">
              <w:rPr>
                <w:rFonts w:asciiTheme="minorHAnsi" w:hAnsiTheme="minorHAnsi" w:cstheme="minorHAnsi"/>
                <w:sz w:val="22"/>
                <w:szCs w:val="22"/>
              </w:rPr>
              <w:t xml:space="preserve"> Podstawowe elementy procesu komunikacji i ich znaczenie dla prawidłowego jej przebiegu.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1E36C" w14:textId="5037277B" w:rsidR="0049005D" w:rsidRPr="007612FD" w:rsidRDefault="005E585F" w:rsidP="0049005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7612FD" w:rsidRPr="007612FD" w14:paraId="06DFB94B" w14:textId="77777777" w:rsidTr="007612FD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462C0131" w14:textId="77777777" w:rsidR="007612FD" w:rsidRPr="007612FD" w:rsidRDefault="007612FD" w:rsidP="007612F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21367FCE" w14:textId="10D32E12" w:rsidR="007612FD" w:rsidRPr="007612FD" w:rsidRDefault="007612FD" w:rsidP="007612F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Problematyka komunikacji niewerbalnej – omówienie znaczenia poszczególnych sygnałów i ich zastosowanie w praktyce zawodowej – np. ocena natężenia bólu.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612FD">
              <w:rPr>
                <w:rFonts w:asciiTheme="minorHAnsi" w:hAnsiTheme="minorHAnsi" w:cstheme="minorHAnsi"/>
              </w:rPr>
              <w:t xml:space="preserve"> Komunikacja werbalna - rozpoznawanie stylów komunikacji interpersonalnej; czynniki zakłócające komunikację - bariery komunikacyjne i konsekwencje zakłóconej komunikacji w relacji z pacjentem.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1D4DB" w14:textId="6EF28581" w:rsidR="007612FD" w:rsidRPr="007612FD" w:rsidRDefault="005E585F" w:rsidP="007612F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7612FD" w:rsidRPr="007612FD" w14:paraId="573397AD" w14:textId="77777777" w:rsidTr="007612FD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4FD41CA8" w14:textId="77777777" w:rsidR="007612FD" w:rsidRPr="007612FD" w:rsidRDefault="007612FD" w:rsidP="007612F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175C2B88" w14:textId="04282A4F" w:rsidR="007612FD" w:rsidRPr="007612FD" w:rsidRDefault="007612FD" w:rsidP="007612F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 xml:space="preserve">Specyfika komunikowania się  z: osobami niedowidzącymi i niewidomymi; z uszkodzonym słuchem; dziećmi; ludźmi starszymi; chorymi psychicznie; pacjentem neurologicznym, ciężko chorym; onkologicznym.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EB35C" w14:textId="59D37732" w:rsidR="007612FD" w:rsidRPr="007612FD" w:rsidRDefault="007612FD" w:rsidP="007612F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1</w:t>
            </w:r>
          </w:p>
        </w:tc>
      </w:tr>
      <w:tr w:rsidR="007612FD" w:rsidRPr="007612FD" w14:paraId="611580D4" w14:textId="77777777" w:rsidTr="007612FD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14EBE15" w14:textId="77777777" w:rsidR="007612FD" w:rsidRPr="007612FD" w:rsidRDefault="007612FD" w:rsidP="007612F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7938" w:type="dxa"/>
            <w:shd w:val="clear" w:color="auto" w:fill="auto"/>
          </w:tcPr>
          <w:p w14:paraId="74DF1D98" w14:textId="2090AD9B" w:rsidR="007612FD" w:rsidRPr="007612FD" w:rsidRDefault="007612FD" w:rsidP="007612F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 xml:space="preserve">Rola asertywności, akceptacji, empatii, agresji, a także zastosowanie AT, MMB, DM0 i metamodelu.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F34B3" w14:textId="42438CD8" w:rsidR="007612FD" w:rsidRPr="007612FD" w:rsidRDefault="007612FD" w:rsidP="007612F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1</w:t>
            </w:r>
          </w:p>
        </w:tc>
      </w:tr>
      <w:tr w:rsidR="007612FD" w:rsidRPr="007612FD" w14:paraId="6084DCF9" w14:textId="77777777" w:rsidTr="007612FD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10FC4200" w14:textId="77777777" w:rsidR="007612FD" w:rsidRPr="007612FD" w:rsidRDefault="007612FD" w:rsidP="007612F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387CAC94" w14:textId="347F1A9A" w:rsidR="007612FD" w:rsidRPr="007612FD" w:rsidRDefault="007612FD" w:rsidP="007612F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Wiedza i podstawowe umiejętności konieczne do rozwinięcia efektywnej komunikacji terapeutycznej, udzielania konstruktywnej informacji zwrotnej, informowania pacjenta i radzenie sobie z krytyką – trudne relacje z pacjentem, konflikty.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5748C" w14:textId="0B2C6183" w:rsidR="007612FD" w:rsidRPr="007612FD" w:rsidRDefault="007612FD" w:rsidP="007612F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</w:rPr>
              <w:t>1</w:t>
            </w:r>
          </w:p>
        </w:tc>
      </w:tr>
      <w:tr w:rsidR="007612FD" w:rsidRPr="007612FD" w14:paraId="63B87F59" w14:textId="77777777" w:rsidTr="007612FD">
        <w:trPr>
          <w:trHeight w:val="34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67630D44" w14:textId="77777777" w:rsidR="007612FD" w:rsidRPr="007612FD" w:rsidRDefault="007612FD" w:rsidP="007612FD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7612FD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0E75B" w14:textId="3D44A957" w:rsidR="007612FD" w:rsidRPr="007612FD" w:rsidRDefault="007612FD" w:rsidP="007612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612FD"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14:paraId="37FA6BC0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Zadaniem Wykonawcy będzie opracowane materiałów do nauczania zdalnego, które  powinny być poprawne merytorycznie oraz spełniać kryteria kursu e-learningowego.</w:t>
      </w:r>
    </w:p>
    <w:p w14:paraId="1D04663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14:paraId="4CD3028F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14:paraId="5615FDF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14:paraId="24BCDAA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14:paraId="7C1CFE0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14:paraId="7F4B1A33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14:paraId="7F3922D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powinien charakteryzować się wysoką jakością techniczną zamieszczonych materiałów.</w:t>
      </w:r>
    </w:p>
    <w:p w14:paraId="4DFB80BB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14:paraId="448656E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dobierać kolory w taki sposób, aby materiał był czytelny nie tylko na monitorze komputera, ale również podczas wyświetlania na projektorze multimedialnym.</w:t>
      </w:r>
    </w:p>
    <w:p w14:paraId="70C1CFD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14:paraId="56501E3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do nauczania zdalnego powinny być czytelne, tak przygotowane aby student nie miał problemu z odczytem informacji w nich zawartych.</w:t>
      </w:r>
    </w:p>
    <w:p w14:paraId="5AA4D29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14:paraId="0030C3A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wykorzystać zróżnicowane metody weryfikacji wiedzy lub umiejętności, takie jak: quizy, pytania kontrolne, zadania, prace do przesłania, korzystania z forum, inne aktywności bieżące, systematyczne w kursie.</w:t>
      </w:r>
    </w:p>
    <w:p w14:paraId="69CF9A3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Ocenione zadanie musi posiadać informację zwrotną do studentów odnośnie uzyskanych wyników i osiągnięcia efektów uczenia się.</w:t>
      </w:r>
    </w:p>
    <w:p w14:paraId="5C5D008F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14:paraId="76EB5379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14:paraId="3CEE4DE1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14:paraId="1D2E9392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14:paraId="1EE011E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14:paraId="151C41F6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14:paraId="781B28D2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14:paraId="44F9F1CE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14:paraId="43BE4CDE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14:paraId="7697C31A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14:paraId="3724B03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14:paraId="1588D38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14:paraId="3D276F3B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14:paraId="2CE30313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14:paraId="1BF9C52C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14:paraId="580DF795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7612FD">
      <w:headerReference w:type="default" r:id="rId12"/>
      <w:footerReference w:type="default" r:id="rId13"/>
      <w:pgSz w:w="11906" w:h="16838"/>
      <w:pgMar w:top="1985" w:right="1133" w:bottom="2410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6F110" w14:textId="77777777" w:rsidR="007168E7" w:rsidRDefault="007168E7">
      <w:pPr>
        <w:spacing w:after="0" w:line="240" w:lineRule="auto"/>
      </w:pPr>
      <w:r>
        <w:separator/>
      </w:r>
    </w:p>
  </w:endnote>
  <w:endnote w:type="continuationSeparator" w:id="0">
    <w:p w14:paraId="6134FD98" w14:textId="77777777" w:rsidR="007168E7" w:rsidRDefault="007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FD29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06257" wp14:editId="1F89950D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3A28D" w14:textId="77777777" w:rsidR="007168E7" w:rsidRDefault="007168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A6FAF1" w14:textId="77777777" w:rsidR="007168E7" w:rsidRDefault="0071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9865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35F62" wp14:editId="379F2E4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83C"/>
    <w:multiLevelType w:val="hybridMultilevel"/>
    <w:tmpl w:val="76A2C7AE"/>
    <w:lvl w:ilvl="0" w:tplc="2C68D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111B10"/>
    <w:rsid w:val="001613EF"/>
    <w:rsid w:val="001B175C"/>
    <w:rsid w:val="001B3751"/>
    <w:rsid w:val="0023790B"/>
    <w:rsid w:val="002B7ACB"/>
    <w:rsid w:val="002D58A3"/>
    <w:rsid w:val="003013F0"/>
    <w:rsid w:val="00303CEF"/>
    <w:rsid w:val="003153D0"/>
    <w:rsid w:val="00324B9B"/>
    <w:rsid w:val="003A68DF"/>
    <w:rsid w:val="003B3761"/>
    <w:rsid w:val="0044247B"/>
    <w:rsid w:val="00447FF7"/>
    <w:rsid w:val="0049005D"/>
    <w:rsid w:val="004A16E2"/>
    <w:rsid w:val="004A2CAB"/>
    <w:rsid w:val="004A3209"/>
    <w:rsid w:val="005943D6"/>
    <w:rsid w:val="005E585F"/>
    <w:rsid w:val="00641076"/>
    <w:rsid w:val="00705902"/>
    <w:rsid w:val="007168E7"/>
    <w:rsid w:val="00717384"/>
    <w:rsid w:val="007612FD"/>
    <w:rsid w:val="00821B7A"/>
    <w:rsid w:val="00834865"/>
    <w:rsid w:val="00842B09"/>
    <w:rsid w:val="008520C1"/>
    <w:rsid w:val="00967252"/>
    <w:rsid w:val="00A238DA"/>
    <w:rsid w:val="00A3394F"/>
    <w:rsid w:val="00A40E0B"/>
    <w:rsid w:val="00A53F7D"/>
    <w:rsid w:val="00A77847"/>
    <w:rsid w:val="00AB6DEF"/>
    <w:rsid w:val="00B02AE4"/>
    <w:rsid w:val="00B102D8"/>
    <w:rsid w:val="00B21B49"/>
    <w:rsid w:val="00B7781D"/>
    <w:rsid w:val="00BD7AC8"/>
    <w:rsid w:val="00C17BA3"/>
    <w:rsid w:val="00CB0747"/>
    <w:rsid w:val="00CE6BBA"/>
    <w:rsid w:val="00D27A60"/>
    <w:rsid w:val="00D672E8"/>
    <w:rsid w:val="00DC3C65"/>
    <w:rsid w:val="00E43ADD"/>
    <w:rsid w:val="00E52352"/>
    <w:rsid w:val="00EC2DD5"/>
    <w:rsid w:val="00F20F97"/>
    <w:rsid w:val="00F35F20"/>
    <w:rsid w:val="00F92A54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D40A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224A-503F-4BB7-BE0D-15123CB6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2020-07-20T10:47:00Z</cp:lastPrinted>
  <dcterms:created xsi:type="dcterms:W3CDTF">2020-08-04T09:19:00Z</dcterms:created>
  <dcterms:modified xsi:type="dcterms:W3CDTF">2020-08-04T10:06:00Z</dcterms:modified>
</cp:coreProperties>
</file>